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09" w:rsidRDefault="00484A09" w:rsidP="003E7E66">
      <w:pPr>
        <w:pStyle w:val="NormalWeb"/>
        <w:bidi/>
        <w:spacing w:line="360" w:lineRule="auto"/>
      </w:pPr>
      <w:r>
        <w:rPr>
          <w:rStyle w:val="Strong"/>
          <w:rFonts w:cs="B Nazanin" w:hint="cs"/>
          <w:rtl/>
        </w:rPr>
        <w:t xml:space="preserve">شرح وظایف واحد پژوهش در آموزش 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>تهیه و تنظیم سیاست</w:t>
      </w:r>
      <w:r>
        <w:rPr>
          <w:rtl/>
        </w:rPr>
        <w:t xml:space="preserve"> </w:t>
      </w:r>
      <w:r>
        <w:rPr>
          <w:rFonts w:cs="B Nazanin" w:hint="cs"/>
          <w:color w:val="333333"/>
          <w:rtl/>
        </w:rPr>
        <w:t>های پژوهش در آموزش مرکز مطالعات و توسعه آموزش علوم پزشکی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>تعیین اولویت های پژوهش در آموزش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rtl/>
        </w:rPr>
        <w:t>توسعه کلینیک های مشاوره ای در زمینه انجام طرح های پژوهش در آموزش در حوزه های مختلف آموزش پزشکی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>برنامه ریزی و تنظیم خط مشی و روشهای اجرایی لازم جهت اجرای مصوبات شورای پژوهشی</w:t>
      </w:r>
      <w:r>
        <w:rPr>
          <w:rtl/>
        </w:rPr>
        <w:t xml:space="preserve"> </w:t>
      </w:r>
      <w:r>
        <w:rPr>
          <w:rFonts w:cs="B Nazanin" w:hint="cs"/>
          <w:color w:val="333333"/>
          <w:rtl/>
        </w:rPr>
        <w:t>مرکز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rtl/>
        </w:rPr>
        <w:t>تهیه و تنظیم برنامه های سالانه و تقویم اجرای فعالیتهای حوزه پژوهش</w:t>
      </w:r>
    </w:p>
    <w:p w:rsidR="00484A09" w:rsidRDefault="00484A09" w:rsidP="00484A09">
      <w:pPr>
        <w:pStyle w:val="NormalWeb"/>
        <w:shd w:val="clear" w:color="auto" w:fill="FFFFFF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</w:rPr>
        <w:t></w:t>
      </w:r>
      <w:r>
        <w:rPr>
          <w:rFonts w:ascii="Wingdings" w:hAnsi="Wingdings"/>
          <w:rtl/>
        </w:rPr>
        <w:t xml:space="preserve"> </w:t>
      </w:r>
      <w:r>
        <w:rPr>
          <w:rFonts w:cs="B Nazanin" w:hint="cs"/>
          <w:rtl/>
        </w:rPr>
        <w:t>مدیریت فرایند داوری و تصویب برنامه ها و طرح های پژوهش در آموزش مطابق آیین نامه ها و ضوابط مربوط</w:t>
      </w:r>
    </w:p>
    <w:p w:rsidR="00484A09" w:rsidRDefault="00484A09" w:rsidP="00484A09">
      <w:pPr>
        <w:pStyle w:val="NormalWeb"/>
        <w:shd w:val="clear" w:color="auto" w:fill="FFFFFF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</w:rPr>
        <w:t></w:t>
      </w:r>
      <w:r>
        <w:rPr>
          <w:rFonts w:ascii="Wingdings" w:hAnsi="Wingdings"/>
          <w:rtl/>
        </w:rPr>
        <w:t xml:space="preserve"> </w:t>
      </w:r>
      <w:r>
        <w:rPr>
          <w:rFonts w:cs="B Nazanin" w:hint="cs"/>
          <w:rtl/>
        </w:rPr>
        <w:t>تشکیل جلسات منظم شورای پژوهشی وانجام امور محوله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 xml:space="preserve">نظارت بر کلیه فعالیت های پژوهشی مصوب 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>ایجاد ارتباط و هماهنگی با مدیران واحدهای تابعه حوزه معاونت پژوهشی دانشگاه جهت اجرای مقررات و دستورالعمل های پژوهشی</w:t>
      </w:r>
    </w:p>
    <w:p w:rsidR="00484A09" w:rsidRDefault="00484A09" w:rsidP="00484A09">
      <w:pPr>
        <w:pStyle w:val="NormalWeb"/>
        <w:bidi/>
        <w:spacing w:line="360" w:lineRule="auto"/>
        <w:ind w:hanging="360"/>
        <w:rPr>
          <w:rtl/>
        </w:rPr>
      </w:pPr>
      <w:r>
        <w:rPr>
          <w:rFonts w:ascii="Wingdings" w:hAnsi="Wingdings"/>
          <w:sz w:val="17"/>
          <w:szCs w:val="17"/>
        </w:rPr>
        <w:t></w:t>
      </w:r>
      <w:r>
        <w:rPr>
          <w:rFonts w:ascii="Wingdings" w:hAnsi="Wingdings"/>
          <w:sz w:val="17"/>
          <w:szCs w:val="17"/>
          <w:rtl/>
        </w:rPr>
        <w:t xml:space="preserve"> </w:t>
      </w:r>
      <w:r>
        <w:rPr>
          <w:rFonts w:cs="B Nazanin" w:hint="cs"/>
          <w:rtl/>
        </w:rPr>
        <w:t>به کارگیری مکانیسم های تشویقی و حمایتی در تصویب و اجرای طرح های پژوهش در آموزش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 xml:space="preserve">نظارت بر حسن اجرای قراردادها و طرح های تحقیقاتی مصوب 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>تهیه و تنظیم گزارش سالیانه امور پژوهشی و گزارش شورای راهبردی مرکز مطالعات و توسعه آموزش علوم پزشکی دانشگاه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>تهیه فرآیندهای گردش کار و راهنماهای مرتبط با واحد پژوهش در آموزش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  <w:rPr>
          <w:rtl/>
        </w:rPr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>تهیه برنامه عملیاتی سالیانه واحد، پایش آن و تنظیم گزارش عملکرد فصلی و سالیانه</w:t>
      </w:r>
    </w:p>
    <w:p w:rsidR="00484A09" w:rsidRDefault="00484A09" w:rsidP="00484A09">
      <w:pPr>
        <w:pStyle w:val="NormalWeb"/>
        <w:bidi/>
        <w:spacing w:line="360" w:lineRule="auto"/>
        <w:ind w:hanging="360"/>
        <w:jc w:val="both"/>
      </w:pPr>
      <w:r>
        <w:rPr>
          <w:rFonts w:ascii="Wingdings" w:hAnsi="Wingdings"/>
          <w:color w:val="333333"/>
        </w:rPr>
        <w:t></w:t>
      </w:r>
      <w:r>
        <w:rPr>
          <w:rFonts w:ascii="Wingdings" w:hAnsi="Wingdings"/>
          <w:color w:val="333333"/>
          <w:rtl/>
        </w:rPr>
        <w:t xml:space="preserve"> </w:t>
      </w:r>
      <w:r>
        <w:rPr>
          <w:rFonts w:cs="B Nazanin" w:hint="cs"/>
          <w:color w:val="333333"/>
          <w:rtl/>
        </w:rPr>
        <w:t xml:space="preserve">بروزسانی وب سایت پژوهش در آموزش </w:t>
      </w:r>
    </w:p>
    <w:sectPr w:rsidR="00484A09" w:rsidSect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0A5"/>
    <w:multiLevelType w:val="hybridMultilevel"/>
    <w:tmpl w:val="13F606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85674C"/>
    <w:multiLevelType w:val="hybridMultilevel"/>
    <w:tmpl w:val="58ECD292"/>
    <w:lvl w:ilvl="0" w:tplc="0F78D914">
      <w:numFmt w:val="bullet"/>
      <w:lvlText w:val="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A6A1D"/>
    <w:rsid w:val="003E7E66"/>
    <w:rsid w:val="00484A09"/>
    <w:rsid w:val="006766F4"/>
    <w:rsid w:val="00C644F1"/>
    <w:rsid w:val="00EA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0035-8E89-43E1-9D6A-FBBBCA3D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DigiNarin-20</dc:creator>
  <cp:lastModifiedBy>DigiNarin-20</cp:lastModifiedBy>
  <cp:revision>4</cp:revision>
  <dcterms:created xsi:type="dcterms:W3CDTF">2023-06-25T06:05:00Z</dcterms:created>
  <dcterms:modified xsi:type="dcterms:W3CDTF">2023-06-25T06:06:00Z</dcterms:modified>
</cp:coreProperties>
</file>